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bookmarkStart w:id="4" w:name="_GoBack"/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  <w:rPr>
          <w:rFonts w:hint="eastAsia"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2024年配电箱采购项目</w:t>
      </w:r>
    </w:p>
    <w:p>
      <w:pPr>
        <w:jc w:val="center"/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（图书信息中心、文体中心、双创中心）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  <w:bookmarkEnd w:id="4"/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 </w:t>
      </w:r>
    </w:p>
    <w:p>
      <w:pPr>
        <w:spacing w:line="276" w:lineRule="auto"/>
        <w:ind w:firstLine="1600" w:firstLineChars="500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 话：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ind w:firstLine="1600" w:firstLineChars="500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>及其他相关证明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营业执照、通过ISO9001质量认证，并且通过“3C”体系认证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制造厂家对本项目出具的授权委托书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《强制性认证产品符合性自我声明》等其他证件</w:t>
      </w:r>
    </w:p>
    <w:p>
      <w:pPr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D3CDD"/>
    <w:multiLevelType w:val="multilevel"/>
    <w:tmpl w:val="697D3CDD"/>
    <w:lvl w:ilvl="0" w:tentative="0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WUyNDc4Mzg0MTM2OGQwYzk0YjIxZmQzNzU2OGUifQ=="/>
  </w:docVars>
  <w:rsids>
    <w:rsidRoot w:val="0C163276"/>
    <w:rsid w:val="0C1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2024-06-13T00:48:00Z</dcterms:created>
  <dc:creator>姜优秀~</dc:creator>
  <cp:lastModifiedBy>姜优秀~</cp:lastModifiedBy>
  <dcterms:modified xsi:type="dcterms:W3CDTF">2024-06-13T00:49:59Z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24214577980F48D3A3ED1AE512C72463_11</vt:lpwstr>
  </property>
</Properties>
</file>